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pPr>
      <w:r>
        <w:rPr>
          <w:b/>
          <w:bCs/>
          <w:sz w:val="24"/>
          <w:szCs w:val="24"/>
        </w:rPr>
        <w:t xml:space="preserve">3. </w:t>
      </w:r>
      <w:r>
        <w:rPr>
          <w:b/>
          <w:bCs/>
          <w:sz w:val="24"/>
          <w:szCs w:val="24"/>
          <w:lang w:val="en-US"/>
        </w:rPr>
        <w:t>Obiectul</w:t>
      </w:r>
      <w:r>
        <w:rPr>
          <w:b/>
          <w:bCs/>
          <w:sz w:val="24"/>
          <w:szCs w:val="24"/>
        </w:rPr>
        <w:t xml:space="preserve"> </w:t>
      </w:r>
      <w:r>
        <w:rPr>
          <w:b/>
          <w:bCs/>
          <w:sz w:val="24"/>
          <w:szCs w:val="24"/>
          <w:lang w:val="en-US"/>
        </w:rPr>
        <w:t>achizi</w:t>
      </w:r>
      <w:r>
        <w:rPr>
          <w:rFonts w:cs="Times New Roman CE" w:ascii="Times New Roman CE" w:hAnsi="Times New Roman CE"/>
          <w:b/>
          <w:bCs/>
          <w:sz w:val="24"/>
          <w:szCs w:val="24"/>
        </w:rPr>
        <w:t>ţ</w:t>
      </w:r>
      <w:r>
        <w:rPr>
          <w:b/>
          <w:bCs/>
          <w:sz w:val="24"/>
          <w:szCs w:val="24"/>
          <w:lang w:val="en-US"/>
        </w:rPr>
        <w:t>iilor</w:t>
      </w:r>
      <w:r>
        <w:rPr>
          <w:sz w:val="28"/>
          <w:szCs w:val="28"/>
        </w:rPr>
        <w:t xml:space="preserve">  </w:t>
      </w:r>
      <w:r>
        <w:rPr>
          <w:b/>
          <w:bCs/>
          <w:sz w:val="28"/>
          <w:szCs w:val="28"/>
          <w:u w:val="single"/>
        </w:rPr>
        <w:t>Газопровод низкого давления с установкой ШГРП по ул Влад Цепеш в г.Унгень (закольцовка)</w:t>
      </w:r>
    </w:p>
    <w:p>
      <w:pPr>
        <w:pStyle w:val="Normal"/>
        <w:bidi w:val="0"/>
        <w:ind w:left="0" w:right="0" w:hanging="0"/>
        <w:rPr>
          <w:rFonts w:ascii="Times New Roman" w:hAnsi="Times New Roman"/>
          <w:sz w:val="24"/>
          <w:szCs w:val="24"/>
        </w:rPr>
      </w:pPr>
      <w:r>
        <w:rPr>
          <w:sz w:val="24"/>
          <w:szCs w:val="24"/>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 Lucrari de montare</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left w:val="single" w:sz="6" w:space="0" w:color="000000"/>
            </w:tcBorders>
            <w:shd w:fill="auto" w:val="clear"/>
          </w:tcPr>
          <w:p>
            <w:pPr>
              <w:pStyle w:val="Normal"/>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bidi w:val="0"/>
              <w:ind w:left="0" w:right="0" w:hanging="0"/>
              <w:rPr/>
            </w:pPr>
            <w:r>
              <w:rPr>
                <w:b/>
                <w:bCs/>
                <w:sz w:val="22"/>
                <w:szCs w:val="22"/>
              </w:rPr>
              <w:t>1.1. Presiunea medie si joasa</w:t>
            </w:r>
          </w:p>
        </w:tc>
        <w:tc>
          <w:tcPr>
            <w:tcW w:w="992" w:type="dxa"/>
            <w:tcBorders>
              <w:left w:val="single" w:sz="6" w:space="0" w:color="000000"/>
            </w:tcBorders>
            <w:shd w:fill="auto" w:val="clear"/>
          </w:tcPr>
          <w:p>
            <w:pPr>
              <w:pStyle w:val="Normal"/>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bidi w:val="0"/>
              <w:ind w:left="0" w:right="0" w:hanging="0"/>
              <w:rPr>
                <w:rFonts w:ascii="Times New Roman" w:hAnsi="Times New Roman"/>
              </w:rPr>
            </w:pPr>
            <w:r>
              <w:rPr/>
            </w:r>
          </w:p>
        </w:tc>
      </w:tr>
      <w:tr>
        <w:trPr/>
        <w:tc>
          <w:tcPr>
            <w:tcW w:w="709" w:type="dxa"/>
            <w:tcBorders>
              <w:left w:val="single" w:sz="6" w:space="0" w:color="000000"/>
            </w:tcBorders>
            <w:shd w:fill="auto" w:val="clear"/>
          </w:tcPr>
          <w:p>
            <w:pPr>
              <w:pStyle w:val="Normal"/>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bidi w:val="0"/>
              <w:ind w:left="0" w:right="0" w:hanging="0"/>
              <w:rPr/>
            </w:pPr>
            <w:r>
              <w:rPr>
                <w:b/>
                <w:bCs/>
                <w:sz w:val="22"/>
                <w:szCs w:val="22"/>
              </w:rPr>
              <w:t>1.1.1. УПГ 7  Размешение ШРУ ( 1 )  Обвязка.Ограждение и покрытие площадки</w:t>
            </w:r>
          </w:p>
        </w:tc>
        <w:tc>
          <w:tcPr>
            <w:tcW w:w="992" w:type="dxa"/>
            <w:tcBorders>
              <w:left w:val="single" w:sz="6" w:space="0" w:color="000000"/>
            </w:tcBorders>
            <w:shd w:fill="auto" w:val="clear"/>
          </w:tcPr>
          <w:p>
            <w:pPr>
              <w:pStyle w:val="Normal"/>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TfA01A1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20 (</w:t>
            </w:r>
            <w:r>
              <w:rPr/>
              <w:t>свеча</w:t>
            </w:r>
            <w:r>
              <w:rPr>
                <w:lang w:val="en-US"/>
              </w:rPr>
              <w: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100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20 de otel gata confectionata, montata pe conducta amplasata in  canal, la o adincime de 1-3 m sau suprateran, la o inaltime intre 3 -15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Cot 57 de otel gata confectionata, montata pe conducta amplasata in  canal, la o adincime de 1-3 m sau suprateran, la o inaltime intre 3 -15 m , inclusiv proba de presiune la rece, proba de etanseitate si proba complexa cu fluid in circulatie, avind diametrul de 50;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Priza de pamint, verticala, din otel rotund, diametru 20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25; antifulger</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1,800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IzJ09B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Vopsirea invelitorii de tabla la conducte si aparate cu vopsea de ulei in 2 straturi, inclusiv grunduirea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IC42A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Suporti si dispozitive de fixare pentru sustinerea conductelor, boilere, aparate si recipienti, avind greutatea de pina la 2 kg / bucata</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1,860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 suport pentru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CO06B4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din plasa de sirma cu panouri de gard din rama de otelrotund fixata  pe stilpi din beton armat prefabricat montati la 2 m distanta interax prin burare cu piatra sparta, cu inaltimea la coama de 2,05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8,000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metalice din otel profilat, model obisnuit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55,500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Invelitori din tabla profilata protejata anticoroziv,ondulata sau cutata, montata pe pane metalice, executate pe suprafete mai mici sau egale de 40 mp cu foi din tabla profilata cu prindere cu tije metalice,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IzD02B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Curatirea de rugina cu peria de sirma a confectiilor si constructiilor metalice: grinzi cu inima plina, stilpi de cai de rulare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t</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0,095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IzD05B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manuala cu un strat de vopsea de miniu de plumb la constructii metalice aferente utilajelor tehnologice (suporti, sustineri, tiranti, console, platforme)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t</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0,095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IzD04A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Vopsirea confectiilor si constructiilor metalice cu vopsea de ulei in 2 straturi, executate din profile, cu grosimi intre 8 mm si 12 mm inclusiv, cu pensula de mina</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t</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0,095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1.1.2. Presiunea medie</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TfA01A1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Cot 57 de otel gata confectionata, montata pe conducta amplasata in  canal, la o adincime de 1-3 m sau suprateran, la o inaltime intre 3 -15 m , inclusiv proba de presiune la rece, proba de etanseitate si proba complexa cu fluid in circulatie, avind diametrul de 50;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1.1.3. Lucrari de terasament</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TsC03B1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Sapatura mecanica cu excavatorul de 0,40-0,70 mc, cu motor cu ardere interna si comanda hidraulica, in pamint cu umiditate naturala, descarcare in depozit teren catg. II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0,350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TsA20B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Sapatura manuala de pamint, in taluzuri, la deblee sapate cu excavator sau screper, pentru completarea sapaturii la profilul taluzului, in teren mijlociu</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4,800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Imprastierea cu lopata a pamintului afinat, in straturi uniforme, de 10-30 cm grosime, printr-o aruncare de pina la 3 m din gramezi, inclusiv sfarimarea bulgarilor, pamintul provenind din teren mijlociu</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Imprastierea pamintului afinat provenit din teren categoria I sau II, executata cu buldozer pe tractor cu senile de 65-80 CP, in straturi cu grosimea de 15-20 cm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0,280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Compactarea cu maiul mecanic de 150-200 kg a umpluturilor in straturi succesive de 20-30 cm grosime, exclusiv udarea fiecarui strat in parte, umpluturile executindu-se din pamint necoeziv</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0,400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1.1.4. Restabilirea trotuarului</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DG03A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Desfacerea de trotuare din dale de beton sau bazalt, montate pe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DD04E</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Pavaj, asezat pe nisip, executata din alicarie de piatra bruta, 8-12 cm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DD50A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Umplerea rosturilor si cochiliilor la rigolele de beton cu mortar de ciment manual</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CA02B3</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Beton simplu turnat in egalizari, pante, sape la inaltimi pina la 35 m inclusiv, prepararea manuala si turnarea cu mijloace clasice beton clasa C 10/8 (Bc 10/B 150)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3,800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1.1.5. Presiunea   joasa</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GD52A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Teava din polietilena, pentru conducte de distributie, montata in sant, cu diametrul pina la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80,000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(mufe  63) din polietilena, tevile avind diametrul de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(cot  63) din polietilena, tevile avind diametrul de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(trecere PE/OL 63/32) din polietilena, tevile avind diametrul de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150,000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Reductie 57/89 de otel gata confectionata, montata pe conducta amplasata in  canal, la o adincime de 1-3 m sau suprateran, la o inaltime intre 3 -15 m , inclusiv proba de presiune la rece, proba de etanseitate si proba complexa cu fluid in circulatie, avind diametrul de 50;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89 de otel gata confectionata, montata pe conducta amplasata in  canal, la o adincime de pina la 1 m sau suprateran, la o inaltime de pina la 3 m, inclusiv proba de presiune la rece, proba de etanseitate si proba complexa cu fluid in circulatie, avind diametrul de 76</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Cot 57 de otel gata confectionata, montata pe conducta amplasata in  canal, la o adincime de 1-3 m sau suprateran, la o inaltime intre 3 -15 m , inclusiv proba de presiune la rece, proba de etanseitate si proba complexa cu fluid in circulatie, avind diametrul de 50;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358,600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Sapatura manuala de pamint in spatii limitate, avind sub 1,00 m sau peste 1,00 m latime, executata fara sprijiniri, cu taluz vertical, la fundatii, canale, subsoluri, drenuri, trepte de infratire, in pamint necoeziv sau slab coeziv adincime &lt; 0,75 m teren usor</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6,800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CA03F02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Beton simplu  turnat cu mijloace clasice,  in fundatii, socluri, ziduri de sprijin, pereti sub cota zero, preparat manual conform. art. CA01, turnare cu mijloace clasice, beton simplu clasa....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6,800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IC42A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Suporti si dispozitive de fixare pentru sustinerea conductelor, boilere, aparate si recipienti, avind greutatea de pina la 2 kg / bucata</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1,920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0,240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1.1.6. УПГ  8-4 (1шт) Прокладка  полиэтиленного газопровода в футляре  110  L=5.0m</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48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GD58A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 xml:space="preserve">Montarea tubului de protectie, din polietilena, la traversari de drumuri, tubul avind diametrul de 110mm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5,000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1.1.7. УПГ  8-4 (1шт) Прокладка  полиэтиленного газопровода в футляре  110  L=10.0m</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49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GD58A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 xml:space="preserve">Montarea tubului de protectie, din polietilena, la traversari de drumuri, tubul avind diametrul de 110mm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1.1.8. УПГ 6(2) шт.ППС-КТ</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50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AcE07A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Montarea capacelor din fonta sau fonta-beton fara piesa-suport, la caminele de vizitare ale instalatiilor de alimentare cu apa si canalizare, necarosabil tip 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Teava din polietilena, pentru conducte de distributie, montata in sant, cu diametrul pina la 32mm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TsC54A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fundatie din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CA04F</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Beton turnat in placi, grinzi, stilpi, preparat cu centrala de betoane sau beton marfa conf. art. CA01 si turnarea cu mijloace clasice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0,080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DB16A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Imbracaminte de beton asfaltic cu agregate marunte, executata la cald, in grosime de 2,5 cm cu astenere manuala</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1.1.9. Demontarea traseului</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56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RpGC14E</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Demontarea dulapului cu doua regulatoare  de presiune pentru instalatia de gaze.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RpGA30B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tevilor  de otel pentru instalatii montate aparent, prin sudare avind diametrul de 1 1/4-2"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141,000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58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GE02A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Montarea  dulapului cu regulator de presiune RDHK - 50  cu doua regulatoare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 xml:space="preserve">3. Стоимость оборудования </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60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GE02A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Dulap cu regulator de presiune  PDHK - 50 cu doua regulatoare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bl>
    <w:p>
      <w:pPr>
        <w:pStyle w:val="Normal"/>
        <w:bidi w:val="0"/>
        <w:ind w:left="0" w:right="0" w:hanging="0"/>
        <w:rPr/>
      </w:pPr>
      <w:r>
        <w:rPr/>
      </w:r>
    </w:p>
    <w:sectPr>
      <w:type w:val="nextPage"/>
      <w:pgSz w:w="11906" w:h="16838"/>
      <w:pgMar w:left="1134" w:right="992"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LibreOffice/6.3.1.2$Linux_X86_64 LibreOffice_project/b79626edf0065ac373bd1df5c28bd630b4424273</Application>
  <Pages>99</Pages>
  <Words>1744</Words>
  <Characters>11662</Characters>
  <CharactersWithSpaces>9941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2019-06-21T15:51:00Z</dcterms:created>
  <dc:creator>Svetlana</dc:creator>
  <dc:description/>
  <dc:language>en-US</dc:language>
  <cp:lastModifiedBy/>
  <dcterms:modified xsi:type="dcterms:W3CDTF">2019-06-21T16:03:00Z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Svetlana</vt:lpwstr>
  </property>
</Properties>
</file>