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567" w:hanging="0"/>
        <w:jc w:val="center"/>
        <w:rPr>
          <w:lang w:val="en-US"/>
        </w:rPr>
      </w:pPr>
      <w:r>
        <w:rPr>
          <w:b/>
          <w:bCs/>
          <w:sz w:val="28"/>
          <w:szCs w:val="28"/>
          <w:lang w:val="en-US"/>
        </w:rPr>
        <w:t>CAIET DE SARCINI</w:t>
      </w:r>
    </w:p>
    <w:p>
      <w:pPr>
        <w:pStyle w:val="Normal"/>
        <w:bidi w:val="0"/>
        <w:ind w:left="0" w:right="567" w:hanging="0"/>
        <w:jc w:val="center"/>
        <w:rPr/>
      </w:pPr>
      <w:r>
        <w:rPr>
          <w:b/>
          <w:bCs/>
          <w:sz w:val="28"/>
          <w:szCs w:val="28"/>
          <w:lang w:val="en-US"/>
        </w:rPr>
        <w:t xml:space="preserve">PENTRU  CEREREA OFERTEI  DE  </w:t>
      </w:r>
      <w:r>
        <w:rPr>
          <w:rFonts w:cs="Times New Roman CE" w:ascii="Times New Roman CE" w:hAnsi="Times New Roman CE"/>
          <w:b/>
          <w:bCs/>
          <w:sz w:val="28"/>
          <w:szCs w:val="28"/>
          <w:lang w:val="en-US"/>
        </w:rPr>
        <w:t>PREŢ</w:t>
      </w:r>
    </w:p>
    <w:p>
      <w:pPr>
        <w:pStyle w:val="Normal"/>
        <w:bidi w:val="0"/>
        <w:ind w:left="0" w:right="567" w:hanging="0"/>
        <w:jc w:val="center"/>
        <w:rPr>
          <w:rFonts w:ascii="Times New Roman" w:hAnsi="Times New Roman"/>
          <w:b/>
          <w:b/>
          <w:bCs/>
          <w:sz w:val="28"/>
          <w:szCs w:val="28"/>
          <w:lang w:val="en-US"/>
        </w:rPr>
      </w:pPr>
      <w:r>
        <w:rPr>
          <w:b/>
          <w:bCs/>
          <w:sz w:val="28"/>
          <w:szCs w:val="28"/>
          <w:lang w:val="en-US"/>
        </w:rPr>
      </w:r>
    </w:p>
    <w:p>
      <w:pPr>
        <w:pStyle w:val="Normal"/>
        <w:bidi w:val="0"/>
        <w:ind w:left="0" w:right="567" w:hanging="0"/>
        <w:rPr>
          <w:lang w:val="en-US"/>
        </w:rPr>
      </w:pPr>
      <w:r>
        <w:rPr>
          <w:b/>
          <w:bCs/>
          <w:sz w:val="24"/>
          <w:szCs w:val="24"/>
          <w:lang w:val="en-US"/>
        </w:rPr>
        <w:t>1. Denumerea beneficiarului de stat</w:t>
      </w:r>
      <w:r>
        <w:rPr>
          <w:b/>
          <w:bCs/>
          <w:sz w:val="28"/>
          <w:szCs w:val="28"/>
          <w:lang w:val="en-US"/>
        </w:rPr>
        <w:t xml:space="preserve">   </w:t>
      </w:r>
      <w:r>
        <w:rPr>
          <w:b/>
          <w:bCs/>
          <w:sz w:val="28"/>
          <w:szCs w:val="28"/>
          <w:u w:val="single"/>
          <w:lang w:val="en-US"/>
        </w:rPr>
        <w:t>SRL ,,UNGHENI GAZ"</w:t>
      </w:r>
    </w:p>
    <w:p>
      <w:pPr>
        <w:pStyle w:val="Normal"/>
        <w:bidi w:val="0"/>
        <w:ind w:left="0" w:right="567" w:hanging="0"/>
        <w:rPr>
          <w:lang w:val="en-US"/>
        </w:rPr>
      </w:pPr>
      <w:r>
        <w:rPr>
          <w:b/>
          <w:bCs/>
          <w:sz w:val="24"/>
          <w:szCs w:val="24"/>
          <w:lang w:val="en-US"/>
        </w:rPr>
        <w:t>2. Organizatorul procedurii de achizi</w:t>
      </w:r>
      <w:r>
        <w:rPr>
          <w:rFonts w:cs="Times New Roman CE" w:ascii="Times New Roman CE" w:hAnsi="Times New Roman CE"/>
          <w:b/>
          <w:bCs/>
          <w:sz w:val="24"/>
          <w:szCs w:val="24"/>
          <w:lang w:val="ro-RO"/>
        </w:rPr>
        <w:t>ţ</w:t>
      </w:r>
      <w:r>
        <w:rPr>
          <w:b/>
          <w:bCs/>
          <w:sz w:val="24"/>
          <w:szCs w:val="24"/>
          <w:lang w:val="en-US"/>
        </w:rPr>
        <w:t>ie</w:t>
      </w:r>
      <w:r>
        <w:rPr>
          <w:sz w:val="28"/>
          <w:szCs w:val="28"/>
          <w:lang w:val="en-US"/>
        </w:rPr>
        <w:t xml:space="preserve"> </w:t>
      </w:r>
      <w:r>
        <w:rPr>
          <w:b/>
          <w:bCs/>
          <w:sz w:val="28"/>
          <w:szCs w:val="28"/>
          <w:u w:val="single"/>
          <w:lang w:val="en-US"/>
        </w:rPr>
        <w:t>SRL ,,UNGHENI GAZ"</w:t>
      </w:r>
    </w:p>
    <w:p>
      <w:pPr>
        <w:pStyle w:val="Normal"/>
        <w:bidi w:val="0"/>
        <w:ind w:left="0" w:right="567" w:hanging="0"/>
        <w:rPr>
          <w:lang w:val="en-US"/>
        </w:rPr>
      </w:pPr>
      <w:r>
        <w:rPr>
          <w:b/>
          <w:bCs/>
          <w:sz w:val="24"/>
          <w:szCs w:val="24"/>
          <w:lang w:val="en-US"/>
        </w:rPr>
        <w:t>3. Obiectul achizi</w:t>
      </w:r>
      <w:r>
        <w:rPr>
          <w:rFonts w:cs="Times New Roman CE" w:ascii="Times New Roman CE" w:hAnsi="Times New Roman CE"/>
          <w:b/>
          <w:bCs/>
          <w:sz w:val="24"/>
          <w:szCs w:val="24"/>
          <w:lang w:val="en-US"/>
        </w:rPr>
        <w:t>ţ</w:t>
      </w:r>
      <w:r>
        <w:rPr>
          <w:b/>
          <w:bCs/>
          <w:sz w:val="24"/>
          <w:szCs w:val="24"/>
          <w:lang w:val="en-US"/>
        </w:rPr>
        <w:t>iilor</w:t>
      </w:r>
      <w:r>
        <w:rPr>
          <w:sz w:val="28"/>
          <w:szCs w:val="28"/>
          <w:lang w:val="en-US"/>
        </w:rPr>
        <w:t xml:space="preserve">  </w:t>
      </w:r>
      <w:r>
        <w:rPr>
          <w:b/>
          <w:bCs/>
          <w:sz w:val="28"/>
          <w:szCs w:val="28"/>
          <w:u w:val="single"/>
          <w:lang w:val="en-US"/>
        </w:rPr>
        <w:t>ШГРП с  РДНК - 50   по улице  P.  Cazacu</w:t>
      </w:r>
      <w:r>
        <w:rPr>
          <w:b/>
          <w:bCs/>
          <w:sz w:val="28"/>
          <w:szCs w:val="28"/>
          <w:u w:val="single"/>
        </w:rPr>
        <w:t xml:space="preserve"> (кольцевание)  филиал ,,Унгень-газ"</w:t>
      </w:r>
    </w:p>
    <w:p>
      <w:pPr>
        <w:pStyle w:val="Normal"/>
        <w:tabs>
          <w:tab w:val="clear" w:pos="720"/>
          <w:tab w:val="left" w:pos="4786" w:leader="none"/>
          <w:tab w:val="left" w:pos="10031" w:leader="none"/>
        </w:tabs>
        <w:bidi w:val="0"/>
        <w:ind w:left="0" w:right="0" w:hanging="0"/>
        <w:rPr>
          <w:rFonts w:ascii="Times New Roman" w:hAnsi="Times New Roman"/>
          <w:sz w:val="22"/>
          <w:szCs w:val="22"/>
        </w:rPr>
      </w:pPr>
      <w:r>
        <w:rPr>
          <w:sz w:val="22"/>
          <w:szCs w:val="22"/>
        </w:rPr>
      </w:r>
    </w:p>
    <w:p>
      <w:pPr>
        <w:pStyle w:val="Normal"/>
        <w:bidi w:val="0"/>
        <w:ind w:left="0" w:right="0" w:hanging="0"/>
        <w:rPr>
          <w:rFonts w:ascii="Times New Roman" w:hAnsi="Times New Roman"/>
          <w:sz w:val="24"/>
          <w:szCs w:val="24"/>
        </w:rPr>
      </w:pPr>
      <w:r>
        <w:rPr>
          <w:sz w:val="24"/>
          <w:szCs w:val="24"/>
        </w:rPr>
      </w:r>
    </w:p>
    <w:tbl>
      <w:tblPr>
        <w:tblW w:w="9781" w:type="dxa"/>
        <w:jc w:val="left"/>
        <w:tblInd w:w="142" w:type="dxa"/>
        <w:tblCellMar>
          <w:top w:w="0" w:type="dxa"/>
          <w:left w:w="108" w:type="dxa"/>
          <w:bottom w:w="0" w:type="dxa"/>
          <w:right w:w="108" w:type="dxa"/>
        </w:tblCellMar>
      </w:tblPr>
      <w:tblGrid>
        <w:gridCol w:w="709"/>
        <w:gridCol w:w="1558"/>
        <w:gridCol w:w="4677"/>
        <w:gridCol w:w="992"/>
        <w:gridCol w:w="1845"/>
      </w:tblGrid>
      <w:tr>
        <w:trPr>
          <w:trHeight w:val="592" w:hRule="atLeast"/>
          <w:cantSplit w:val="true"/>
        </w:trPr>
        <w:tc>
          <w:tcPr>
            <w:tcW w:w="709" w:type="dxa"/>
            <w:tcBorders>
              <w:top w:val="single" w:sz="6" w:space="0" w:color="000000"/>
              <w:left w:val="single" w:sz="6" w:space="0" w:color="000000"/>
            </w:tcBorders>
            <w:shd w:color="auto" w:fill="auto" w:val="pct5"/>
          </w:tcPr>
          <w:p>
            <w:pPr>
              <w:pStyle w:val="Normal"/>
              <w:tabs>
                <w:tab w:val="clear" w:pos="720"/>
              </w:tabs>
              <w:bidi w:val="0"/>
              <w:ind w:left="0" w:right="-108" w:hanging="0"/>
              <w:jc w:val="center"/>
              <w:rPr/>
            </w:pPr>
            <w:r>
              <w:rPr>
                <w:sz w:val="22"/>
                <w:szCs w:val="22"/>
              </w:rPr>
              <w:t>№</w:t>
            </w:r>
          </w:p>
          <w:p>
            <w:pPr>
              <w:pStyle w:val="Normal"/>
              <w:tabs>
                <w:tab w:val="clear" w:pos="720"/>
              </w:tabs>
              <w:bidi w:val="0"/>
              <w:ind w:left="0" w:right="-108" w:hanging="0"/>
              <w:jc w:val="center"/>
              <w:rPr/>
            </w:pPr>
            <w:r>
              <w:rPr>
                <w:sz w:val="22"/>
                <w:szCs w:val="22"/>
              </w:rPr>
              <w:t xml:space="preserve"> </w:t>
            </w:r>
            <w:r>
              <w:rPr>
                <w:sz w:val="22"/>
                <w:szCs w:val="22"/>
                <w:lang w:val="en-US"/>
              </w:rPr>
              <w:t>crt</w:t>
            </w:r>
            <w:r>
              <w:rPr>
                <w:sz w:val="22"/>
                <w:szCs w:val="22"/>
              </w:rPr>
              <w:t>.</w:t>
            </w:r>
          </w:p>
        </w:tc>
        <w:tc>
          <w:tcPr>
            <w:tcW w:w="1558" w:type="dxa"/>
            <w:tcBorders>
              <w:top w:val="single" w:sz="6" w:space="0" w:color="000000"/>
              <w:left w:val="single" w:sz="6" w:space="0" w:color="000000"/>
            </w:tcBorders>
            <w:shd w:color="auto" w:fill="auto" w:val="pct5"/>
          </w:tcPr>
          <w:p>
            <w:pPr>
              <w:pStyle w:val="Normal"/>
              <w:tabs>
                <w:tab w:val="clear" w:pos="720"/>
              </w:tabs>
              <w:bidi w:val="0"/>
              <w:ind w:left="-120" w:right="-108" w:hanging="0"/>
              <w:jc w:val="center"/>
              <w:rPr>
                <w:lang w:val="ro-RO"/>
              </w:rPr>
            </w:pPr>
            <w:r>
              <w:rPr>
                <w:sz w:val="22"/>
                <w:szCs w:val="22"/>
                <w:lang w:val="ro-RO"/>
              </w:rPr>
              <w:t>Simbol</w:t>
            </w:r>
            <w:r>
              <w:rPr>
                <w:sz w:val="22"/>
                <w:szCs w:val="22"/>
                <w:lang w:val="en-US"/>
              </w:rPr>
              <w:t xml:space="preserve"> </w:t>
            </w:r>
            <w:r>
              <w:rPr>
                <w:sz w:val="22"/>
                <w:szCs w:val="22"/>
                <w:lang w:val="ro-RO"/>
              </w:rPr>
              <w:t>norme</w:t>
            </w:r>
            <w:r>
              <w:rPr>
                <w:sz w:val="22"/>
                <w:szCs w:val="22"/>
                <w:lang w:val="en-US"/>
              </w:rPr>
              <w:t xml:space="preserve"> </w:t>
            </w:r>
            <w:r>
              <w:rPr>
                <w:rFonts w:cs="Times New Roman CE" w:ascii="Times New Roman CE" w:hAnsi="Times New Roman CE"/>
                <w:sz w:val="22"/>
                <w:szCs w:val="22"/>
                <w:lang w:val="ro-RO"/>
              </w:rPr>
              <w:t xml:space="preserve">şi Cod </w:t>
            </w:r>
            <w:r>
              <w:rPr>
                <w:sz w:val="22"/>
                <w:szCs w:val="22"/>
                <w:lang w:val="en-US"/>
              </w:rPr>
              <w:t xml:space="preserve"> </w:t>
            </w:r>
            <w:r>
              <w:rPr>
                <w:sz w:val="22"/>
                <w:szCs w:val="22"/>
                <w:lang w:val="ro-RO"/>
              </w:rPr>
              <w:t xml:space="preserve">resurse  </w:t>
            </w:r>
          </w:p>
        </w:tc>
        <w:tc>
          <w:tcPr>
            <w:tcW w:w="4677" w:type="dxa"/>
            <w:tcBorders>
              <w:top w:val="single" w:sz="6" w:space="0" w:color="000000"/>
              <w:left w:val="single" w:sz="6" w:space="0" w:color="000000"/>
            </w:tcBorders>
            <w:shd w:color="auto" w:fill="auto" w:val="pct5"/>
          </w:tcPr>
          <w:p>
            <w:pPr>
              <w:pStyle w:val="Normal"/>
              <w:tabs>
                <w:tab w:val="clear" w:pos="720"/>
              </w:tabs>
              <w:bidi w:val="0"/>
              <w:ind w:left="0" w:right="0" w:hanging="0"/>
              <w:jc w:val="center"/>
              <w:rPr>
                <w:rFonts w:ascii="Times New Roman" w:hAnsi="Times New Roman"/>
                <w:sz w:val="22"/>
                <w:szCs w:val="22"/>
                <w:lang w:val="ro-RO"/>
              </w:rPr>
            </w:pPr>
            <w:r>
              <w:rPr>
                <w:sz w:val="22"/>
                <w:szCs w:val="22"/>
                <w:lang w:val="ro-RO"/>
              </w:rPr>
            </w:r>
          </w:p>
          <w:p>
            <w:pPr>
              <w:pStyle w:val="Normal"/>
              <w:tabs>
                <w:tab w:val="clear" w:pos="720"/>
              </w:tabs>
              <w:bidi w:val="0"/>
              <w:ind w:left="0" w:right="0" w:hanging="0"/>
              <w:jc w:val="center"/>
              <w:rPr>
                <w:lang w:val="ro-RO"/>
              </w:rPr>
            </w:pPr>
            <w:r>
              <w:rPr>
                <w:rFonts w:cs="Times New Roman CE" w:ascii="Times New Roman CE" w:hAnsi="Times New Roman CE"/>
                <w:sz w:val="22"/>
                <w:szCs w:val="22"/>
                <w:lang w:val="ro-RO"/>
              </w:rPr>
              <w:t>Denumire lucrări</w:t>
            </w:r>
            <w:r>
              <w:rPr>
                <w:sz w:val="22"/>
                <w:szCs w:val="22"/>
                <w:lang w:val="ro-RO"/>
              </w:rPr>
              <w:t xml:space="preserve">lor    </w:t>
            </w:r>
          </w:p>
        </w:tc>
        <w:tc>
          <w:tcPr>
            <w:tcW w:w="992" w:type="dxa"/>
            <w:tcBorders>
              <w:top w:val="single" w:sz="6" w:space="0" w:color="000000"/>
              <w:left w:val="single" w:sz="6" w:space="0" w:color="000000"/>
            </w:tcBorders>
            <w:shd w:color="auto" w:fill="auto" w:val="pct5"/>
          </w:tcPr>
          <w:p>
            <w:pPr>
              <w:pStyle w:val="Normal"/>
              <w:tabs>
                <w:tab w:val="clear" w:pos="720"/>
              </w:tabs>
              <w:bidi w:val="0"/>
              <w:ind w:left="-108" w:right="-108" w:hanging="0"/>
              <w:jc w:val="center"/>
              <w:rPr>
                <w:lang w:val="ro-RO"/>
              </w:rPr>
            </w:pPr>
            <w:r>
              <w:rPr>
                <w:sz w:val="22"/>
                <w:szCs w:val="22"/>
                <w:lang w:val="ro-RO"/>
              </w:rPr>
              <w:t>Unitatea de masura</w:t>
            </w:r>
            <w:r>
              <w:rPr>
                <w:sz w:val="22"/>
                <w:szCs w:val="22"/>
              </w:rPr>
              <w:t xml:space="preserve"> </w:t>
            </w:r>
          </w:p>
        </w:tc>
        <w:tc>
          <w:tcPr>
            <w:tcW w:w="1845" w:type="dxa"/>
            <w:tcBorders>
              <w:top w:val="single" w:sz="6" w:space="0" w:color="000000"/>
              <w:left w:val="single" w:sz="6" w:space="0" w:color="000000"/>
              <w:right w:val="single" w:sz="6" w:space="0" w:color="000000"/>
            </w:tcBorders>
            <w:shd w:color="auto" w:fill="auto" w:val="pct5"/>
          </w:tcPr>
          <w:p>
            <w:pPr>
              <w:pStyle w:val="Normal"/>
              <w:tabs>
                <w:tab w:val="clear" w:pos="720"/>
              </w:tabs>
              <w:bidi w:val="0"/>
              <w:ind w:left="0" w:right="0" w:hanging="0"/>
              <w:jc w:val="center"/>
              <w:rPr>
                <w:lang w:val="en-US"/>
              </w:rPr>
            </w:pPr>
            <w:r>
              <w:rPr>
                <w:sz w:val="22"/>
                <w:szCs w:val="22"/>
                <w:lang w:val="en-US"/>
              </w:rPr>
              <w:t>Volum</w:t>
            </w:r>
          </w:p>
        </w:tc>
      </w:tr>
    </w:tbl>
    <w:p>
      <w:pPr>
        <w:pStyle w:val="Normal"/>
        <w:bidi w:val="0"/>
        <w:ind w:left="0" w:right="0" w:hanging="0"/>
        <w:rPr>
          <w:rFonts w:ascii="Times New Roman" w:hAnsi="Times New Roman"/>
          <w:sz w:val="2"/>
          <w:szCs w:val="2"/>
          <w:lang w:val="en-US"/>
        </w:rPr>
      </w:pPr>
      <w:r>
        <w:rPr>
          <w:sz w:val="2"/>
          <w:szCs w:val="2"/>
          <w:lang w:val="en-US"/>
        </w:rPr>
      </w:r>
    </w:p>
    <w:tbl>
      <w:tblPr>
        <w:tblW w:w="9781" w:type="dxa"/>
        <w:jc w:val="left"/>
        <w:tblInd w:w="142" w:type="dxa"/>
        <w:tblCellMar>
          <w:top w:w="0" w:type="dxa"/>
          <w:left w:w="108" w:type="dxa"/>
          <w:bottom w:w="0" w:type="dxa"/>
          <w:right w:w="108" w:type="dxa"/>
        </w:tblCellMar>
      </w:tblPr>
      <w:tblGrid>
        <w:gridCol w:w="709"/>
        <w:gridCol w:w="1558"/>
        <w:gridCol w:w="4677"/>
        <w:gridCol w:w="992"/>
        <w:gridCol w:w="1845"/>
      </w:tblGrid>
      <w:tr>
        <w:trPr>
          <w:cantSplit w:val="true"/>
        </w:trPr>
        <w:tc>
          <w:tcPr>
            <w:tcW w:w="709"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0" w:right="-108" w:hanging="0"/>
              <w:jc w:val="center"/>
              <w:rPr/>
            </w:pPr>
            <w:r>
              <w:rPr>
                <w:sz w:val="22"/>
                <w:szCs w:val="22"/>
              </w:rPr>
              <w:t>1</w:t>
            </w:r>
          </w:p>
        </w:tc>
        <w:tc>
          <w:tcPr>
            <w:tcW w:w="1558"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120" w:right="-108" w:hanging="0"/>
              <w:jc w:val="center"/>
              <w:rPr/>
            </w:pPr>
            <w:r>
              <w:rPr>
                <w:sz w:val="22"/>
                <w:szCs w:val="22"/>
              </w:rPr>
              <w:t>2</w:t>
            </w:r>
          </w:p>
        </w:tc>
        <w:tc>
          <w:tcPr>
            <w:tcW w:w="4677"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0" w:right="0" w:hanging="0"/>
              <w:jc w:val="center"/>
              <w:rPr/>
            </w:pPr>
            <w:r>
              <w:rPr>
                <w:sz w:val="22"/>
                <w:szCs w:val="22"/>
              </w:rPr>
              <w:t>3</w:t>
            </w:r>
          </w:p>
        </w:tc>
        <w:tc>
          <w:tcPr>
            <w:tcW w:w="992"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108" w:right="-108" w:hanging="0"/>
              <w:jc w:val="center"/>
              <w:rPr/>
            </w:pPr>
            <w:r>
              <w:rPr>
                <w:sz w:val="22"/>
                <w:szCs w:val="22"/>
              </w:rPr>
              <w:t>4</w:t>
            </w:r>
          </w:p>
        </w:tc>
        <w:tc>
          <w:tcPr>
            <w:tcW w:w="1845" w:type="dxa"/>
            <w:tcBorders>
              <w:top w:val="single" w:sz="6" w:space="0" w:color="000000"/>
              <w:left w:val="single" w:sz="6" w:space="0" w:color="000000"/>
              <w:bottom w:val="double" w:sz="6" w:space="0" w:color="000000"/>
              <w:right w:val="single" w:sz="6" w:space="0" w:color="000000"/>
            </w:tcBorders>
            <w:shd w:color="auto" w:fill="auto" w:val="pct5"/>
          </w:tcPr>
          <w:p>
            <w:pPr>
              <w:pStyle w:val="Normal"/>
              <w:tabs>
                <w:tab w:val="clear" w:pos="720"/>
              </w:tabs>
              <w:bidi w:val="0"/>
              <w:ind w:left="0" w:right="0" w:hanging="0"/>
              <w:jc w:val="center"/>
              <w:rPr>
                <w:lang w:val="en-US"/>
              </w:rPr>
            </w:pPr>
            <w:r>
              <w:rPr>
                <w:sz w:val="22"/>
                <w:szCs w:val="22"/>
                <w:lang w:val="en-US"/>
              </w:rPr>
              <w:t>5</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 xml:space="preserve">1. Lucrari de montare </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left w:val="single" w:sz="6" w:space="0" w:color="000000"/>
            </w:tcBorders>
            <w:shd w:fill="auto" w:val="clear"/>
          </w:tcPr>
          <w:p>
            <w:pPr>
              <w:pStyle w:val="Normal"/>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bidi w:val="0"/>
              <w:ind w:left="0" w:right="0" w:hanging="0"/>
              <w:rPr/>
            </w:pPr>
            <w:r>
              <w:rPr>
                <w:b/>
                <w:bCs/>
                <w:sz w:val="22"/>
                <w:szCs w:val="22"/>
              </w:rPr>
              <w:t>1.1. Lucrari de terasament</w:t>
            </w:r>
          </w:p>
        </w:tc>
        <w:tc>
          <w:tcPr>
            <w:tcW w:w="992" w:type="dxa"/>
            <w:tcBorders>
              <w:left w:val="single" w:sz="6" w:space="0" w:color="000000"/>
            </w:tcBorders>
            <w:shd w:fill="auto" w:val="clear"/>
          </w:tcPr>
          <w:p>
            <w:pPr>
              <w:pStyle w:val="Normal"/>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TsC03B1</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lang w:val="en-US"/>
              </w:rPr>
              <w:t xml:space="preserve">Sapatura mecanica cu excavatorul de 0,40-0,70 mc, cu motor cu ardere interna si comanda hidraulica, in pamint cu umiditate naturala, descarcare in depozit teren catg. </w:t>
            </w:r>
            <w:r>
              <w:rPr/>
              <w:t>II</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100 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0,170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TsA20B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Sapatura manuala de pamint, in taluzuri, la deblee sapate cu excavator sau screper, pentru completarea sapaturii la profilul taluzului, in teren mijlociu</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1,500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TsD01B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Imprastierea cu lopata a pamintului afinat, in straturi uniforme, de 10-30 cm grosime, printr-o aruncare de pina la 3 m din gramezi, inclusiv sfarimarea bulgarilor, pamintul provenind din teren mijlociu</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4,500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TsD02A1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Imprastierea pamintului afinat provenit din teren categoria I sau II, executata cu buldozer pe tractor cu senile de 65-80 CP, in straturi cu grosimea de 15-20 cm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100 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0,140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TsD05A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Compactarea cu maiul mecanic de 150-200 kg a umpluturilor in straturi succesive de 20-30 cm grosime, exclusiv udarea fiecarui strat in parte, umpluturile executindu-se din pamint necoeziv</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100 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0,180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TsD03C1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Imprastierea pamintului afinat provenit din teren categoria I sau II si categoria III sau IV, executata cu buldozer pe tractor cu senile de 81-180 CP, in straturi de 21-30 cm, teren catg. I sau II</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100 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0,010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RpDD01A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 xml:space="preserve">Strat de fundatie sau reprofilare din piatra sparta, pentru drumuri, restabilirea suprafetei deteriorate de drum din petris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1,800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1.2. Presiunea medie</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GD52A</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Teava din polietilena, pentru conducte de distributie, montata in sant, cu diametrul pina la 63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30,000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GD54B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Imbinarea prin sudura de tip electrofuziune intre teava si fiting (bransament 75/63) din polietilena, tevile avind diametrul de 75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GD54A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Imbinarea prin sudura de tip electrofuziune intre teava si fiting (mufe  63) din polietilena, tevile avind diametrul de  63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GD54A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Imbinarea prin sudura de tip electrofuziune intre teava si fiting (cot  63) din polietilena, tevile avind diametrul de  63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GD54A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Imbinarea prin sudura de tip electrofuziune intre teava si fiting (trecere PE/OL 63 din polietilena, tevile avind diametrul de 63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Conducta de otel, montata in  canal, la o adincime de pina la 1 m sau suprateran, la o inaltime de pine la 3 m  , inclusiv proba de presiune la rece, proba de etanseitate si proba complexa cu fluid in circulatie, avind diametrul de 57</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GC03A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Proba de rezistenta si regim, executata cu aer, cu motocompresor, pentru controlul etanseitatii imbinarilor si armaturilor, la conducte de otel cu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 km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0,030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1.3. УПГ 6(2) шт.ППС-КТ</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15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AcE07A</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Montarea capacelor din fonta sau fonta-beton fara piesa-suport, la caminele de vizitare ale instalatiilor de alimentare cu apa si canalizare, necarosabil tip I</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GD52A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Teava din polietilena, pentru conducte de distributie, montata in sant, cu diametrul pina la 32mm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TsC54A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Strat de fundatie din nisip</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0,040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CA04F</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 xml:space="preserve">Beton turnat in placi, grinzi, stilpi, preparat cu centrala de betoane sau beton marfa conf. art. CA01 si turnarea cu mijloace clasice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0,080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CL18A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Confectii metalice diverse din profile laminate, tabla, tabla striata, otel beton, tevi pentru sustineri sau acoperiri, inglobate total sau partial in beton</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kg</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DB16A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Imbracaminte de beton asfaltic cu agregate marunte, executata la cald, in grosime de 2,5 cm cu astenere manuala</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1,200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1.4.  УПГ 7  Размешение ШРУ ( 1 )  Обвязка.Ограждение и покрытие площадки.</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21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TfA01A1</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Conducta de otel, montata in  canal, la o adincime de pina la 1 m sau suprateran, la o inaltime de pine la 3 m  , inclusiv proba de presiune la rece, proba de etanseitate si proba complexa cu fluid in circulatie, avind diametrul de 20 (свеча)</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6,000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TfA01C1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Conducta de otel, montata in  canal, la o adincime de pina la 1 m sau suprateran, la o inaltime de pine la 3 m , inclusiv proba de presiune la rece, proba de etanseitate si proba complexa cu fluid in circulatie, avind diametrul de 100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Cot 20 de otel gata confectionata, montata pe conducta amplasata in  canal, la o adincime de 1-3 m sau suprateran, la o inaltime intre 3 -15 m , inclusiv proba de presiune la rece, proba de etanseitate si proba complexa cu fluid in circulatie, avind diametrul de 20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 xml:space="preserve">Cot 57 de otel gata confectionata, montata pe conducta amplasata in  canal, la o adincime de 1-3 m sau suprateran, la o inaltime intre 3 -15 m , inclusiv proba de presiune la rece, proba de etanseitate si proba complexa cu fluid in circulatie, avind diametrul de 50;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GB05A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Flansa din otel pentru Pn 10,16, 25, 40, 64, montata prin sudura electrica, la conducte de otel, avind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GB05B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Flansa din otel pentru Pn 10,16, 25, 40, 64, montata prin sudura electrica, la conducte de otel, avind Dn 80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08-02-471-4</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Priza de pamint, verticala, din otel rotund, diametru 20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10 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0,300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08-02-472-2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Conductori de legare la pamint: priza de pamint, orizontala, din otel fisie, sectiune 160 mm2</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100 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0,100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Conducta de otel, montata in  canal, la o adincime de pina la 1 m sau suprateran, la o inaltime de pine la 3 m  , inclusiv proba de presiune la rece, proba de etanseitate si proba complexa cu fluid in circulatie, avind diametrul de 25; antifulger</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IzJ07A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Grunduirea conductelor si aparatelor cu grund de miniu plumb intr-un strat</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1,800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IzJ09B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 xml:space="preserve">Vopsirea invelitorii de tabla la conducte si aparate cu vopsea de ulei in 2 straturi, inclusiv grunduirea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1,500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IC42A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Suporti si dispozitive de fixare pentru sustinerea conductelor, boilere, aparate si recipienti, avind greutatea de pina la 2 kg / bucata</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kg</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1,860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CL18A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Confectii metalice diverse din profile laminate, tabla, tabla striata, otel beton, tevi pentru sustineri sau acoperiri, inglobate total sau partial in beton suport pentru dulap</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kg</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39,840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CO06B4</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Imprejmuiri din plasa de sirma cu panouri de gard din rama de otelrotund fixata  pe stilpi din beton armat prefabricat montati la 2 m distanta interax prin burare cu piatra sparta, cu inaltimea la coama de 2,05 m, pentru utilizarea betonului simplu marfa la plantarea stilpilor metalici</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CO07A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Imprejmuiri metalice din otel profilat, model obisnuit</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kg</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55,500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CE06B1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Invelitori din tabla profilata protejata anticoroziv,ondulata sau cutata, montata pe pane metalice, executate pe suprafete mai mici sau egale de 40 mp cu foi din tabla profilata cu prindere cu tije metalice, inclusiv executarea doliilor, sorturilor, racordurilor la cosuri etc.</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1,400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IzD02B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Curatirea de rugina cu peria de sirma a confectiilor si constructiilor metalice: grinzi cu inima plina, stilpi de cai de rulare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t</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0,095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IzD05B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Grunduirea manuala cu un strat de vopsea de miniu de plumb la constructii metalice aferente utilajelor tehnologice (suporti, sustineri, tiranti, console, platforme)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t</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0,095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IzD04A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Vopsirea confectiilor si constructiilor metalice cu vopsea de ulei in 2 straturi, executate din profile, cu grosimi intre 8 mm si 12 mm inclusiv, cu pensula de mina</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t</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0,095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DA06A2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Strat de agregate naturale cilindrata, avind functia de rezistenta filtranta, izolatoare, aerisire, antigeliva si anticapilara, cu asternere manuala, cu nisip</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1,065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DA06A1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Strat de agregate naturale cilindrate, avind functia de rezistenta filtranta, izolatoare, aerisire, antigeliva si anticapilara, cu asternere manuala cu balast</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1,065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CA02A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Beton simplu turnat in egalizari, pante, beton clasa C 5/4 (Bc 5/B 75)</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0,625</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1.5. Presiunea joasa</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43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GD52B</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Teava din polietilena, pentru conducte de distributie, montata in sant, cu diametrul de 75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340,000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GD54B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Imbinarea prin sudura de tip electrofuziune intre teava si fiting (mufe, 75) din polietilena, tevile avind diametrul de 75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GD54B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Imbinarea prin sudura de tip electrofuziune intre teava si fiting (cot 75) din polietilena, tevile avind diametrul de 75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GD54B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Imbinarea prin sudura de tip electrofuziune intre teava si fiting (trecerea  PE/OL 75/76) din polietilena, tevile avind diametrul de 75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TfA01B1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Conducta de otel, montata in  canal, la o adincime de pina la 1 m sau suprateran, la o inaltime de pine la 3 m  , inclusiv proba de presiune la rece, proba de etanseitate si proba complexa cu fluid in circulatie, avind diametrul de 89</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TfA02B1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Cot 89 de otel gata confectionata, montata pe conducta amplasata in  canal, la o adincime de pina la 1 m sau suprateran, la o inaltime de pina la 3 m, inclusiv proba de presiune la rece, proba de etanseitate si proba complexa cu fluid in circulatie, avind diametrul de 76</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GC03A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Proba de rezistenta si regim, executata cu aer, cu motocompresor, pentru controlul etanseitatii imbinarilor si armaturilor, la conducte de otel cu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 km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0,350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1.6. Lucrari de terasament</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50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TsC03B1</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Sapatura mecanica cu excavatorul de 0,40-0,70 mc, cu motor cu ardere interna si comanda hidraulica, in pamint cu umiditate naturala, descarcare in depozit teren catg. II</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100 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1,870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51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TsA20B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Sapatura manuala de pamint, in taluzuri, la deblee sapate cu excavator sau screper, pentru completarea sapaturii la profilul taluzului, in teren mijlociu</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17,000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52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TsD01B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Imprastierea cu lopata a pamintului afinat, in straturi uniforme, de 10-30 cm grosime, printr-o aruncare de pina la 3 m din gramezi, inclusiv sfarimarea bulgarilor, pamintul provenind din teren mijlociu</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51,000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53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TsD02A1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Imprastierea pamintului afinat provenit din teren categoria I sau II, executata cu buldozer pe tractor cu senile de 65-80 CP, in straturi cu grosimea de 15-20 cm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100 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1,530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54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TsD05A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Compactarea cu maiul mecanic de 150-200 kg a umpluturilor in straturi succesive de 20-30 cm grosime, exclusiv udarea fiecarui strat in parte, umpluturile executindu-se din pamint necoeziv</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100 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2,040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55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TsD03C1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Imprastierea pamintului afinat provenit din teren categoria I sau II si categoria III sau IV, executata cu buldozer pe tractor cu senile de 81-180 CP, in straturi de 21-30 cm, teren catg. I sau II</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100 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0,050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56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RpDD01A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 xml:space="preserve">Strat de fundatie sau reprofilare din piatra sparta, pentru drumuri, restabilirea suprafetei deteriorate de drum din petris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20,400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2. Монтаж оборудования</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57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GE02A</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Montarea  dulapului cu regulator de presiune RDHK - 50  cu doua regulatoare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58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GB01A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Robinet cu flanse Pn 10-16, avind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59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GB01B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Robinet cu flanse Pn 10-16, avind Dn 80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 xml:space="preserve">3. Стоимость оборудования </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60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GE02A</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Dulap cu regulator de presiune  PDHK - 50 cu doua regulatoare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61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GB01B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Robinet cu flanse Pn 10-16, avind Dn 50mm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62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GB01B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Robinet cu flanse Pn 10-16, avind Dn 80mm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w:t>
            </w:r>
          </w:p>
        </w:tc>
      </w:tr>
    </w:tbl>
    <w:p>
      <w:pPr>
        <w:pStyle w:val="Normal"/>
        <w:bidi w:val="0"/>
        <w:ind w:left="0" w:right="0" w:hanging="0"/>
        <w:rPr/>
      </w:pPr>
      <w:r>
        <w:rPr/>
      </w:r>
    </w:p>
    <w:sectPr>
      <w:type w:val="nextPage"/>
      <w:pgSz w:w="11906" w:h="16838"/>
      <w:pgMar w:left="1134" w:right="992" w:header="0" w:top="709" w:footer="0"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CE">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Noto Sans Devanagari"/>
        <w:kern w:val="2"/>
        <w:sz w:val="24"/>
        <w:szCs w:val="24"/>
        <w:lang w:val="en-US"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ru-RU" w:bidi="ar-SA"/>
    </w:rPr>
  </w:style>
  <w:style w:type="character" w:styleId="DefaultParagraphFont">
    <w:name w:val="Default Paragraph Font"/>
    <w:qFormat/>
    <w:rPr/>
  </w:style>
  <w:style w:type="character" w:styleId="Style14">
    <w:name w:val="Основной шрифт"/>
    <w:qFormat/>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76" w:before="0" w:after="200"/>
      <w:jc w:val="left"/>
      <w:textAlignment w:val="auto"/>
    </w:pPr>
    <w:rPr>
      <w:rFonts w:ascii="Times New Roman" w:hAnsi="Times New Roman" w:eastAsia="Times New Roman" w:cs="Times New Roman"/>
      <w:color w:val="auto"/>
      <w:kern w:val="2"/>
      <w:sz w:val="22"/>
      <w:szCs w:val="22"/>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LibreOffice/6.3.1.2$Linux_X86_64 LibreOffice_project/b79626edf0065ac373bd1df5c28bd630b4424273</Application>
  <Pages>99</Pages>
  <Words>1671</Words>
  <Characters>11174</Characters>
  <CharactersWithSpaces>9525</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2019-06-24T08:29:00Z</dcterms:created>
  <dc:creator>Svetlana</dc:creator>
  <dc:description/>
  <dc:language>en-US</dc:language>
  <cp:lastModifiedBy/>
  <dcterms:modified xsi:type="dcterms:W3CDTF">2019-06-24T08:29:00Z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Svetlana</vt:lpwstr>
  </property>
</Properties>
</file>